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B8E" w:rsidRDefault="00923B8E" w:rsidP="00DE6827">
      <w:pPr>
        <w:jc w:val="center"/>
        <w:rPr>
          <w:b/>
          <w:sz w:val="24"/>
          <w:szCs w:val="24"/>
        </w:rPr>
      </w:pPr>
    </w:p>
    <w:p w:rsidR="00FC3665" w:rsidRPr="00D735F4" w:rsidRDefault="00DE6827" w:rsidP="00DE6827">
      <w:pPr>
        <w:jc w:val="center"/>
        <w:rPr>
          <w:b/>
          <w:sz w:val="24"/>
          <w:szCs w:val="24"/>
        </w:rPr>
      </w:pPr>
      <w:bookmarkStart w:id="0" w:name="_GoBack"/>
      <w:bookmarkEnd w:id="0"/>
      <w:r w:rsidRPr="00D735F4">
        <w:rPr>
          <w:b/>
          <w:sz w:val="24"/>
          <w:szCs w:val="24"/>
        </w:rPr>
        <w:t>PROTOKÓŁ INWENTARYZACYJNY NR</w:t>
      </w:r>
      <w:r w:rsidR="00607C2A" w:rsidRPr="00D735F4">
        <w:rPr>
          <w:b/>
          <w:sz w:val="24"/>
          <w:szCs w:val="24"/>
        </w:rPr>
        <w:t xml:space="preserve"> </w:t>
      </w:r>
      <w:r w:rsidRPr="00D735F4">
        <w:rPr>
          <w:b/>
          <w:sz w:val="24"/>
          <w:szCs w:val="24"/>
        </w:rPr>
        <w:t>1/2023</w:t>
      </w:r>
    </w:p>
    <w:p w:rsidR="00607C2A" w:rsidRDefault="00607C2A" w:rsidP="00DE6827">
      <w:pPr>
        <w:jc w:val="center"/>
      </w:pPr>
    </w:p>
    <w:p w:rsidR="00624EBC" w:rsidRDefault="00DE6827" w:rsidP="00624EBC">
      <w:pPr>
        <w:ind w:firstLine="360"/>
        <w:jc w:val="both"/>
        <w:rPr>
          <w:rFonts w:eastAsia="Times New Roman" w:cstheme="minorHAnsi"/>
          <w:lang w:eastAsia="pl-PL"/>
        </w:rPr>
      </w:pPr>
      <w:r>
        <w:t xml:space="preserve">Sporządzony w związku z zamiarem nabycia przez Gminę Miejską Iława w drodze komunalizacji niżej wymienionej nieruchomości stanowiącej własność Skarbu Państwa,  </w:t>
      </w:r>
      <w:r w:rsidRPr="00624EBC">
        <w:rPr>
          <w:rFonts w:cstheme="minorHAnsi"/>
        </w:rPr>
        <w:t xml:space="preserve">w trybie art. 5 ust. 4 ustawy </w:t>
      </w:r>
      <w:r w:rsidR="00624EBC" w:rsidRPr="00624EBC">
        <w:rPr>
          <w:rFonts w:eastAsia="Times New Roman" w:cstheme="minorHAnsi"/>
          <w:lang w:eastAsia="pl-PL"/>
        </w:rPr>
        <w:t xml:space="preserve">z 10 maja 1990 r. </w:t>
      </w:r>
      <w:r w:rsidR="00624EBC">
        <w:rPr>
          <w:rFonts w:eastAsia="Times New Roman" w:cstheme="minorHAnsi"/>
          <w:lang w:eastAsia="pl-PL"/>
        </w:rPr>
        <w:t>P</w:t>
      </w:r>
      <w:r w:rsidR="00624EBC" w:rsidRPr="00624EBC">
        <w:rPr>
          <w:rFonts w:eastAsia="Times New Roman" w:cstheme="minorHAnsi"/>
          <w:bCs/>
          <w:lang w:eastAsia="pl-PL"/>
        </w:rPr>
        <w:t>rzepisy wprowadzające ustawę o samorządzie terytorialnym i ustawę o pracownikach samorządowych.</w:t>
      </w:r>
      <w:r w:rsidR="00624EBC" w:rsidRPr="00624EBC">
        <w:rPr>
          <w:rFonts w:eastAsia="Times New Roman" w:cstheme="minorHAnsi"/>
          <w:lang w:eastAsia="pl-PL"/>
        </w:rPr>
        <w:t xml:space="preserve"> (</w:t>
      </w:r>
      <w:proofErr w:type="spellStart"/>
      <w:r w:rsidR="00624EBC" w:rsidRPr="00624EBC">
        <w:rPr>
          <w:rFonts w:eastAsia="Times New Roman" w:cstheme="minorHAnsi"/>
          <w:lang w:eastAsia="pl-PL"/>
        </w:rPr>
        <w:t>t.j</w:t>
      </w:r>
      <w:proofErr w:type="spellEnd"/>
      <w:r w:rsidR="00624EBC" w:rsidRPr="00624EBC">
        <w:rPr>
          <w:rFonts w:eastAsia="Times New Roman" w:cstheme="minorHAnsi"/>
          <w:lang w:eastAsia="pl-PL"/>
        </w:rPr>
        <w:t>. Dz. U. z 1990 r. Nr 32, poz. 191 ze zm.)</w:t>
      </w:r>
      <w:r w:rsidR="00624EBC">
        <w:rPr>
          <w:rFonts w:eastAsia="Times New Roman" w:cstheme="minorHAnsi"/>
          <w:lang w:eastAsia="pl-PL"/>
        </w:rPr>
        <w:t>:</w:t>
      </w:r>
    </w:p>
    <w:tbl>
      <w:tblPr>
        <w:tblStyle w:val="Tabela-Siatka"/>
        <w:tblW w:w="0" w:type="auto"/>
        <w:tblLook w:val="04A0" w:firstRow="1" w:lastRow="0" w:firstColumn="1" w:lastColumn="0" w:noHBand="0" w:noVBand="1"/>
      </w:tblPr>
      <w:tblGrid>
        <w:gridCol w:w="704"/>
        <w:gridCol w:w="1843"/>
        <w:gridCol w:w="1559"/>
        <w:gridCol w:w="1559"/>
        <w:gridCol w:w="1701"/>
        <w:gridCol w:w="1843"/>
        <w:gridCol w:w="1276"/>
        <w:gridCol w:w="1417"/>
        <w:gridCol w:w="2092"/>
      </w:tblGrid>
      <w:tr w:rsidR="00082F09" w:rsidTr="00082F09">
        <w:tc>
          <w:tcPr>
            <w:tcW w:w="704" w:type="dxa"/>
          </w:tcPr>
          <w:p w:rsidR="004F1C76" w:rsidRPr="004F1C76" w:rsidRDefault="004F1C76" w:rsidP="004F1C76">
            <w:pPr>
              <w:rPr>
                <w:rFonts w:eastAsia="Times New Roman" w:cstheme="minorHAnsi"/>
                <w:sz w:val="20"/>
                <w:szCs w:val="20"/>
                <w:lang w:eastAsia="pl-PL"/>
              </w:rPr>
            </w:pPr>
            <w:r w:rsidRPr="004F1C76">
              <w:rPr>
                <w:rFonts w:eastAsia="Times New Roman" w:cstheme="minorHAnsi"/>
                <w:sz w:val="20"/>
                <w:szCs w:val="20"/>
                <w:lang w:eastAsia="pl-PL"/>
              </w:rPr>
              <w:t>Lp.</w:t>
            </w:r>
          </w:p>
        </w:tc>
        <w:tc>
          <w:tcPr>
            <w:tcW w:w="1843" w:type="dxa"/>
          </w:tcPr>
          <w:p w:rsidR="004F1C76" w:rsidRPr="004F1C76" w:rsidRDefault="004F1C76" w:rsidP="004F1C76">
            <w:pPr>
              <w:rPr>
                <w:rFonts w:eastAsia="Times New Roman" w:cstheme="minorHAnsi"/>
                <w:sz w:val="20"/>
                <w:szCs w:val="20"/>
                <w:lang w:eastAsia="pl-PL"/>
              </w:rPr>
            </w:pPr>
            <w:r w:rsidRPr="004F1C76">
              <w:rPr>
                <w:rFonts w:eastAsia="Times New Roman" w:cstheme="minorHAnsi"/>
                <w:sz w:val="20"/>
                <w:szCs w:val="20"/>
                <w:lang w:eastAsia="pl-PL"/>
              </w:rPr>
              <w:t>Obręb ewidencyjny</w:t>
            </w:r>
            <w:r w:rsidR="00082F09">
              <w:rPr>
                <w:rFonts w:eastAsia="Times New Roman" w:cstheme="minorHAnsi"/>
                <w:sz w:val="20"/>
                <w:szCs w:val="20"/>
                <w:lang w:eastAsia="pl-PL"/>
              </w:rPr>
              <w:t>, położenie</w:t>
            </w:r>
          </w:p>
        </w:tc>
        <w:tc>
          <w:tcPr>
            <w:tcW w:w="1559" w:type="dxa"/>
          </w:tcPr>
          <w:p w:rsidR="004F1C76" w:rsidRPr="004F1C76" w:rsidRDefault="004F1C76" w:rsidP="004F1C76">
            <w:pPr>
              <w:rPr>
                <w:rFonts w:eastAsia="Times New Roman" w:cstheme="minorHAnsi"/>
                <w:sz w:val="20"/>
                <w:szCs w:val="20"/>
                <w:lang w:eastAsia="pl-PL"/>
              </w:rPr>
            </w:pPr>
            <w:r w:rsidRPr="004F1C76">
              <w:rPr>
                <w:rFonts w:eastAsia="Times New Roman" w:cstheme="minorHAnsi"/>
                <w:sz w:val="20"/>
                <w:szCs w:val="20"/>
                <w:lang w:eastAsia="pl-PL"/>
              </w:rPr>
              <w:t>Numer ewidencyjny</w:t>
            </w:r>
          </w:p>
        </w:tc>
        <w:tc>
          <w:tcPr>
            <w:tcW w:w="1559" w:type="dxa"/>
          </w:tcPr>
          <w:p w:rsidR="004F1C76" w:rsidRPr="004F1C76" w:rsidRDefault="004F1C76" w:rsidP="004F1C76">
            <w:pPr>
              <w:rPr>
                <w:rFonts w:eastAsia="Times New Roman" w:cstheme="minorHAnsi"/>
                <w:sz w:val="20"/>
                <w:szCs w:val="20"/>
                <w:lang w:eastAsia="pl-PL"/>
              </w:rPr>
            </w:pPr>
            <w:r w:rsidRPr="004F1C76">
              <w:rPr>
                <w:rFonts w:eastAsia="Times New Roman" w:cstheme="minorHAnsi"/>
                <w:sz w:val="20"/>
                <w:szCs w:val="20"/>
                <w:lang w:eastAsia="pl-PL"/>
              </w:rPr>
              <w:t xml:space="preserve">Pow. </w:t>
            </w:r>
            <w:r w:rsidR="00082F09" w:rsidRPr="004F1C76">
              <w:rPr>
                <w:rFonts w:eastAsia="Times New Roman" w:cstheme="minorHAnsi"/>
                <w:sz w:val="20"/>
                <w:szCs w:val="20"/>
                <w:lang w:eastAsia="pl-PL"/>
              </w:rPr>
              <w:t>D</w:t>
            </w:r>
            <w:r w:rsidRPr="004F1C76">
              <w:rPr>
                <w:rFonts w:eastAsia="Times New Roman" w:cstheme="minorHAnsi"/>
                <w:sz w:val="20"/>
                <w:szCs w:val="20"/>
                <w:lang w:eastAsia="pl-PL"/>
              </w:rPr>
              <w:t>ziałki</w:t>
            </w:r>
            <w:r w:rsidR="00082F09">
              <w:rPr>
                <w:rFonts w:eastAsia="Times New Roman" w:cstheme="minorHAnsi"/>
                <w:sz w:val="20"/>
                <w:szCs w:val="20"/>
                <w:lang w:eastAsia="pl-PL"/>
              </w:rPr>
              <w:t xml:space="preserve"> [ha]</w:t>
            </w:r>
          </w:p>
        </w:tc>
        <w:tc>
          <w:tcPr>
            <w:tcW w:w="1701" w:type="dxa"/>
          </w:tcPr>
          <w:p w:rsidR="004F1C76" w:rsidRPr="004F1C76" w:rsidRDefault="004F1C76" w:rsidP="004F1C76">
            <w:pPr>
              <w:rPr>
                <w:rFonts w:eastAsia="Times New Roman" w:cstheme="minorHAnsi"/>
                <w:sz w:val="20"/>
                <w:szCs w:val="20"/>
                <w:lang w:eastAsia="pl-PL"/>
              </w:rPr>
            </w:pPr>
            <w:r w:rsidRPr="004F1C76">
              <w:rPr>
                <w:rFonts w:eastAsia="Times New Roman" w:cstheme="minorHAnsi"/>
                <w:sz w:val="20"/>
                <w:szCs w:val="20"/>
                <w:lang w:eastAsia="pl-PL"/>
              </w:rPr>
              <w:t>Rodzaj użytku, sposób wykorzystania</w:t>
            </w:r>
          </w:p>
        </w:tc>
        <w:tc>
          <w:tcPr>
            <w:tcW w:w="1843" w:type="dxa"/>
          </w:tcPr>
          <w:p w:rsidR="004F1C76" w:rsidRPr="004F1C76" w:rsidRDefault="004F1C76" w:rsidP="004F1C76">
            <w:pPr>
              <w:rPr>
                <w:rFonts w:eastAsia="Times New Roman" w:cstheme="minorHAnsi"/>
                <w:sz w:val="20"/>
                <w:szCs w:val="20"/>
                <w:lang w:eastAsia="pl-PL"/>
              </w:rPr>
            </w:pPr>
            <w:r w:rsidRPr="004F1C76">
              <w:rPr>
                <w:rFonts w:eastAsia="Times New Roman" w:cstheme="minorHAnsi"/>
                <w:sz w:val="20"/>
                <w:szCs w:val="20"/>
                <w:lang w:eastAsia="pl-PL"/>
              </w:rPr>
              <w:t>Numer księgi wieczystej</w:t>
            </w:r>
          </w:p>
        </w:tc>
        <w:tc>
          <w:tcPr>
            <w:tcW w:w="1276" w:type="dxa"/>
          </w:tcPr>
          <w:p w:rsidR="004F1C76" w:rsidRPr="004F1C76" w:rsidRDefault="004F1C76" w:rsidP="004F1C76">
            <w:pPr>
              <w:rPr>
                <w:rFonts w:eastAsia="Times New Roman" w:cstheme="minorHAnsi"/>
                <w:sz w:val="20"/>
                <w:szCs w:val="20"/>
                <w:lang w:eastAsia="pl-PL"/>
              </w:rPr>
            </w:pPr>
            <w:r w:rsidRPr="004F1C76">
              <w:rPr>
                <w:rFonts w:eastAsia="Times New Roman" w:cstheme="minorHAnsi"/>
                <w:sz w:val="20"/>
                <w:szCs w:val="20"/>
                <w:lang w:eastAsia="pl-PL"/>
              </w:rPr>
              <w:t>Budynki, budowle i urządzenia</w:t>
            </w:r>
          </w:p>
        </w:tc>
        <w:tc>
          <w:tcPr>
            <w:tcW w:w="1417" w:type="dxa"/>
          </w:tcPr>
          <w:p w:rsidR="004F1C76" w:rsidRPr="004F1C76" w:rsidRDefault="004F1C76" w:rsidP="004F1C76">
            <w:pPr>
              <w:rPr>
                <w:rFonts w:eastAsia="Times New Roman" w:cstheme="minorHAnsi"/>
                <w:sz w:val="20"/>
                <w:szCs w:val="20"/>
                <w:lang w:eastAsia="pl-PL"/>
              </w:rPr>
            </w:pPr>
            <w:r w:rsidRPr="004F1C76">
              <w:rPr>
                <w:rFonts w:eastAsia="Times New Roman" w:cstheme="minorHAnsi"/>
                <w:sz w:val="20"/>
                <w:szCs w:val="20"/>
                <w:lang w:eastAsia="pl-PL"/>
              </w:rPr>
              <w:t>Własność, użytkowanie, zarząd</w:t>
            </w:r>
          </w:p>
        </w:tc>
        <w:tc>
          <w:tcPr>
            <w:tcW w:w="2092" w:type="dxa"/>
          </w:tcPr>
          <w:p w:rsidR="004F1C76" w:rsidRPr="004F1C76" w:rsidRDefault="004F1C76" w:rsidP="004F1C76">
            <w:pPr>
              <w:rPr>
                <w:rFonts w:eastAsia="Times New Roman" w:cstheme="minorHAnsi"/>
                <w:sz w:val="20"/>
                <w:szCs w:val="20"/>
                <w:lang w:eastAsia="pl-PL"/>
              </w:rPr>
            </w:pPr>
            <w:r w:rsidRPr="004F1C76">
              <w:rPr>
                <w:rFonts w:eastAsia="Times New Roman" w:cstheme="minorHAnsi"/>
                <w:sz w:val="20"/>
                <w:szCs w:val="20"/>
                <w:lang w:eastAsia="pl-PL"/>
              </w:rPr>
              <w:t>Uwagi</w:t>
            </w:r>
          </w:p>
        </w:tc>
      </w:tr>
      <w:tr w:rsidR="00082F09" w:rsidTr="00082F09">
        <w:tc>
          <w:tcPr>
            <w:tcW w:w="704" w:type="dxa"/>
          </w:tcPr>
          <w:p w:rsidR="004F1C76" w:rsidRDefault="004F1C76" w:rsidP="00082F09">
            <w:pPr>
              <w:rPr>
                <w:rFonts w:eastAsia="Times New Roman" w:cstheme="minorHAnsi"/>
                <w:lang w:eastAsia="pl-PL"/>
              </w:rPr>
            </w:pPr>
            <w:r>
              <w:rPr>
                <w:rFonts w:eastAsia="Times New Roman" w:cstheme="minorHAnsi"/>
                <w:lang w:eastAsia="pl-PL"/>
              </w:rPr>
              <w:t>1.</w:t>
            </w:r>
          </w:p>
        </w:tc>
        <w:tc>
          <w:tcPr>
            <w:tcW w:w="1843" w:type="dxa"/>
          </w:tcPr>
          <w:p w:rsidR="00082F09" w:rsidRDefault="004F1C76" w:rsidP="00082F09">
            <w:pPr>
              <w:rPr>
                <w:rFonts w:eastAsia="Times New Roman" w:cstheme="minorHAnsi"/>
                <w:lang w:eastAsia="pl-PL"/>
              </w:rPr>
            </w:pPr>
            <w:r>
              <w:rPr>
                <w:rFonts w:eastAsia="Times New Roman" w:cstheme="minorHAnsi"/>
                <w:lang w:eastAsia="pl-PL"/>
              </w:rPr>
              <w:t>Iława nr 10</w:t>
            </w:r>
          </w:p>
          <w:p w:rsidR="004F1C76" w:rsidRDefault="00082F09" w:rsidP="00082F09">
            <w:pPr>
              <w:rPr>
                <w:rFonts w:eastAsia="Times New Roman" w:cstheme="minorHAnsi"/>
                <w:lang w:eastAsia="pl-PL"/>
              </w:rPr>
            </w:pPr>
            <w:r>
              <w:rPr>
                <w:rFonts w:eastAsia="Times New Roman" w:cstheme="minorHAnsi"/>
                <w:lang w:eastAsia="pl-PL"/>
              </w:rPr>
              <w:t>ul. Andersa</w:t>
            </w:r>
          </w:p>
        </w:tc>
        <w:tc>
          <w:tcPr>
            <w:tcW w:w="1559" w:type="dxa"/>
          </w:tcPr>
          <w:p w:rsidR="004F1C76" w:rsidRDefault="004F1C76" w:rsidP="00082F09">
            <w:pPr>
              <w:rPr>
                <w:rFonts w:eastAsia="Times New Roman" w:cstheme="minorHAnsi"/>
                <w:lang w:eastAsia="pl-PL"/>
              </w:rPr>
            </w:pPr>
            <w:r>
              <w:rPr>
                <w:rFonts w:eastAsia="Times New Roman" w:cstheme="minorHAnsi"/>
                <w:lang w:eastAsia="pl-PL"/>
              </w:rPr>
              <w:t>198/3</w:t>
            </w:r>
          </w:p>
        </w:tc>
        <w:tc>
          <w:tcPr>
            <w:tcW w:w="1559" w:type="dxa"/>
          </w:tcPr>
          <w:p w:rsidR="004F1C76" w:rsidRDefault="004F1C76" w:rsidP="00082F09">
            <w:pPr>
              <w:rPr>
                <w:rFonts w:eastAsia="Times New Roman" w:cstheme="minorHAnsi"/>
                <w:lang w:eastAsia="pl-PL"/>
              </w:rPr>
            </w:pPr>
            <w:r>
              <w:rPr>
                <w:rFonts w:eastAsia="Times New Roman" w:cstheme="minorHAnsi"/>
                <w:lang w:eastAsia="pl-PL"/>
              </w:rPr>
              <w:t>0,1193</w:t>
            </w:r>
          </w:p>
        </w:tc>
        <w:tc>
          <w:tcPr>
            <w:tcW w:w="1701" w:type="dxa"/>
          </w:tcPr>
          <w:p w:rsidR="004F1C76" w:rsidRDefault="004F1C76" w:rsidP="00082F09">
            <w:pPr>
              <w:rPr>
                <w:rFonts w:eastAsia="Times New Roman" w:cstheme="minorHAnsi"/>
                <w:lang w:eastAsia="pl-PL"/>
              </w:rPr>
            </w:pPr>
            <w:r>
              <w:rPr>
                <w:rFonts w:eastAsia="Times New Roman" w:cstheme="minorHAnsi"/>
                <w:lang w:eastAsia="pl-PL"/>
              </w:rPr>
              <w:t>Bi</w:t>
            </w:r>
          </w:p>
          <w:p w:rsidR="004F1C76" w:rsidRDefault="004F1C76" w:rsidP="00082F09">
            <w:pPr>
              <w:rPr>
                <w:rFonts w:eastAsia="Times New Roman" w:cstheme="minorHAnsi"/>
                <w:lang w:eastAsia="pl-PL"/>
              </w:rPr>
            </w:pPr>
            <w:r>
              <w:rPr>
                <w:rFonts w:eastAsia="Times New Roman" w:cstheme="minorHAnsi"/>
                <w:lang w:eastAsia="pl-PL"/>
              </w:rPr>
              <w:t>parking</w:t>
            </w:r>
          </w:p>
        </w:tc>
        <w:tc>
          <w:tcPr>
            <w:tcW w:w="1843" w:type="dxa"/>
          </w:tcPr>
          <w:p w:rsidR="004F1C76" w:rsidRDefault="004F1C76" w:rsidP="00082F09">
            <w:pPr>
              <w:rPr>
                <w:rFonts w:eastAsia="Times New Roman" w:cstheme="minorHAnsi"/>
                <w:lang w:eastAsia="pl-PL"/>
              </w:rPr>
            </w:pPr>
            <w:r>
              <w:rPr>
                <w:rFonts w:eastAsia="Times New Roman" w:cstheme="minorHAnsi"/>
                <w:lang w:eastAsia="pl-PL"/>
              </w:rPr>
              <w:t>EL1I/00064311/6</w:t>
            </w:r>
          </w:p>
        </w:tc>
        <w:tc>
          <w:tcPr>
            <w:tcW w:w="1276" w:type="dxa"/>
          </w:tcPr>
          <w:p w:rsidR="004F1C76" w:rsidRDefault="004F1C76" w:rsidP="00082F09">
            <w:pPr>
              <w:rPr>
                <w:rFonts w:eastAsia="Times New Roman" w:cstheme="minorHAnsi"/>
                <w:lang w:eastAsia="pl-PL"/>
              </w:rPr>
            </w:pPr>
            <w:r>
              <w:rPr>
                <w:rFonts w:eastAsia="Times New Roman" w:cstheme="minorHAnsi"/>
                <w:lang w:eastAsia="pl-PL"/>
              </w:rPr>
              <w:t>Parking</w:t>
            </w:r>
          </w:p>
        </w:tc>
        <w:tc>
          <w:tcPr>
            <w:tcW w:w="1417" w:type="dxa"/>
          </w:tcPr>
          <w:p w:rsidR="004F1C76" w:rsidRDefault="004F1C76" w:rsidP="00082F09">
            <w:pPr>
              <w:rPr>
                <w:rFonts w:eastAsia="Times New Roman" w:cstheme="minorHAnsi"/>
                <w:lang w:eastAsia="pl-PL"/>
              </w:rPr>
            </w:pPr>
            <w:r>
              <w:rPr>
                <w:rFonts w:eastAsia="Times New Roman" w:cstheme="minorHAnsi"/>
                <w:lang w:eastAsia="pl-PL"/>
              </w:rPr>
              <w:t>Skarb Państwa</w:t>
            </w:r>
          </w:p>
        </w:tc>
        <w:tc>
          <w:tcPr>
            <w:tcW w:w="2092" w:type="dxa"/>
          </w:tcPr>
          <w:p w:rsidR="00082F09" w:rsidRDefault="00082F09" w:rsidP="00082F09">
            <w:pPr>
              <w:rPr>
                <w:rFonts w:eastAsia="Times New Roman" w:cstheme="minorHAnsi"/>
                <w:lang w:eastAsia="pl-PL"/>
              </w:rPr>
            </w:pPr>
            <w:r>
              <w:rPr>
                <w:rFonts w:eastAsia="Times New Roman" w:cstheme="minorHAnsi"/>
                <w:lang w:eastAsia="pl-PL"/>
              </w:rPr>
              <w:t xml:space="preserve">Brak obciążeń hipotecznych </w:t>
            </w:r>
          </w:p>
          <w:p w:rsidR="004F1C76" w:rsidRDefault="00082F09" w:rsidP="00082F09">
            <w:pPr>
              <w:rPr>
                <w:rFonts w:eastAsia="Times New Roman" w:cstheme="minorHAnsi"/>
                <w:lang w:eastAsia="pl-PL"/>
              </w:rPr>
            </w:pPr>
            <w:r>
              <w:rPr>
                <w:rFonts w:eastAsia="Times New Roman" w:cstheme="minorHAnsi"/>
                <w:lang w:eastAsia="pl-PL"/>
              </w:rPr>
              <w:t>i innych zobowiązań</w:t>
            </w:r>
          </w:p>
        </w:tc>
      </w:tr>
    </w:tbl>
    <w:p w:rsidR="00624EBC" w:rsidRDefault="00624EBC" w:rsidP="00624EBC">
      <w:pPr>
        <w:ind w:firstLine="360"/>
        <w:jc w:val="both"/>
        <w:rPr>
          <w:rFonts w:eastAsia="Times New Roman" w:cstheme="minorHAnsi"/>
          <w:lang w:eastAsia="pl-PL"/>
        </w:rPr>
      </w:pPr>
    </w:p>
    <w:p w:rsidR="004F1C76" w:rsidRDefault="00082F09" w:rsidP="006E0B6C">
      <w:pPr>
        <w:spacing w:after="0"/>
        <w:ind w:firstLine="357"/>
        <w:jc w:val="both"/>
        <w:rPr>
          <w:rFonts w:eastAsia="Times New Roman" w:cstheme="minorHAnsi"/>
          <w:lang w:eastAsia="pl-PL"/>
        </w:rPr>
      </w:pPr>
      <w:r>
        <w:rPr>
          <w:rFonts w:eastAsia="Times New Roman" w:cstheme="minorHAnsi"/>
          <w:lang w:eastAsia="pl-PL"/>
        </w:rPr>
        <w:t xml:space="preserve">Uwagi i zastrzeżenia do wyłożonego protokołu można składać w Urzędzie Miasta Iławy lub przez Elektroniczną Skrzynkę Podawczą na platformie </w:t>
      </w:r>
      <w:proofErr w:type="spellStart"/>
      <w:r>
        <w:rPr>
          <w:rFonts w:eastAsia="Times New Roman" w:cstheme="minorHAnsi"/>
          <w:lang w:eastAsia="pl-PL"/>
        </w:rPr>
        <w:t>ePUAP</w:t>
      </w:r>
      <w:proofErr w:type="spellEnd"/>
      <w:r>
        <w:rPr>
          <w:rFonts w:eastAsia="Times New Roman" w:cstheme="minorHAnsi"/>
          <w:lang w:eastAsia="pl-PL"/>
        </w:rPr>
        <w:t>. Po okresie wyłożenia oraz rozpatrzeniu ewentualnych uwag i zastrzeżeń, protokół inwentaryzacyjny zostanie przekazany Wojewodzie Warmińsko-Mazurskiemu, jako załącznik do wniosku o przekazanie  wymienionej wyżej nieruchomości na rzecz Gminy Miejskiej Iława.</w:t>
      </w:r>
    </w:p>
    <w:p w:rsidR="0043470A" w:rsidRPr="0043470A" w:rsidRDefault="00134B11" w:rsidP="0043470A">
      <w:pPr>
        <w:ind w:firstLine="708"/>
        <w:jc w:val="both"/>
        <w:rPr>
          <w:rFonts w:eastAsia="Times New Roman" w:cstheme="minorHAnsi"/>
          <w:lang w:eastAsia="pl-PL"/>
        </w:rPr>
      </w:pPr>
      <w:r>
        <w:rPr>
          <w:rFonts w:eastAsia="Times New Roman" w:cstheme="minorHAnsi"/>
          <w:lang w:eastAsia="pl-PL"/>
        </w:rPr>
        <w:t xml:space="preserve">Niniejszy </w:t>
      </w:r>
      <w:r w:rsidR="006E0B6C">
        <w:rPr>
          <w:rFonts w:eastAsia="Times New Roman" w:cstheme="minorHAnsi"/>
          <w:lang w:eastAsia="pl-PL"/>
        </w:rPr>
        <w:t>protokół wyłożono do publicznego wglądu na okres 30 dni tj. od dnia 10 sierpnia 2023 r. do 11 września 2023 r. poprzez wywieszenie na tablicy ogłoszeń Urzędu Miasta Iławy oraz opublikowanie w Biuletynie Informacji Publicznej</w:t>
      </w:r>
      <w:r w:rsidR="0043470A">
        <w:rPr>
          <w:rFonts w:eastAsia="Times New Roman" w:cstheme="minorHAnsi"/>
          <w:lang w:eastAsia="pl-PL"/>
        </w:rPr>
        <w:t xml:space="preserve"> </w:t>
      </w:r>
      <w:r w:rsidR="00BA71ED">
        <w:rPr>
          <w:rFonts w:eastAsia="Times New Roman" w:cstheme="minorHAnsi"/>
          <w:lang w:eastAsia="pl-PL"/>
        </w:rPr>
        <w:t>pod adresem</w:t>
      </w:r>
      <w:r w:rsidR="0043470A">
        <w:rPr>
          <w:rFonts w:eastAsia="Times New Roman" w:cstheme="minorHAnsi"/>
          <w:lang w:eastAsia="pl-PL"/>
        </w:rPr>
        <w:t xml:space="preserve">: </w:t>
      </w:r>
      <w:hyperlink r:id="rId4" w:history="1">
        <w:r w:rsidR="0043470A" w:rsidRPr="0043470A">
          <w:rPr>
            <w:rFonts w:eastAsia="Times New Roman" w:cstheme="minorHAnsi"/>
            <w:color w:val="0563C1"/>
            <w:u w:val="single"/>
            <w:lang w:eastAsia="pl-PL"/>
          </w:rPr>
          <w:t>https://bip.umilawa.pl</w:t>
        </w:r>
      </w:hyperlink>
      <w:r w:rsidR="0043470A" w:rsidRPr="0043470A">
        <w:rPr>
          <w:rFonts w:eastAsia="Times New Roman" w:cstheme="minorHAnsi"/>
          <w:lang w:eastAsia="pl-PL"/>
        </w:rPr>
        <w:t>.</w:t>
      </w:r>
    </w:p>
    <w:p w:rsidR="00082F09" w:rsidRPr="00624EBC" w:rsidRDefault="00082F09" w:rsidP="006E0B6C">
      <w:pPr>
        <w:spacing w:after="0"/>
        <w:ind w:firstLine="357"/>
        <w:jc w:val="both"/>
        <w:rPr>
          <w:rFonts w:eastAsia="Times New Roman" w:cstheme="minorHAnsi"/>
          <w:lang w:eastAsia="pl-PL"/>
        </w:rPr>
      </w:pPr>
    </w:p>
    <w:p w:rsidR="00DE6827" w:rsidRPr="00624EBC" w:rsidRDefault="00DE6827" w:rsidP="00DE6827">
      <w:pPr>
        <w:jc w:val="both"/>
        <w:rPr>
          <w:rFonts w:cstheme="minorHAnsi"/>
        </w:rPr>
      </w:pPr>
    </w:p>
    <w:p w:rsidR="00DE6827" w:rsidRDefault="00DE6827"/>
    <w:sectPr w:rsidR="00DE6827" w:rsidSect="00DE682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27"/>
    <w:rsid w:val="00082F09"/>
    <w:rsid w:val="00134B11"/>
    <w:rsid w:val="0043470A"/>
    <w:rsid w:val="004F1C76"/>
    <w:rsid w:val="00607C2A"/>
    <w:rsid w:val="00624EBC"/>
    <w:rsid w:val="006E0B6C"/>
    <w:rsid w:val="00923B8E"/>
    <w:rsid w:val="00BA71ED"/>
    <w:rsid w:val="00D735F4"/>
    <w:rsid w:val="00DE6827"/>
    <w:rsid w:val="00FC36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3CD76"/>
  <w15:chartTrackingRefBased/>
  <w15:docId w15:val="{26320C41-C68B-47D1-AACF-4F498A7D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F1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p.umila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206</Words>
  <Characters>1236</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Ireneusz Iwanicki</dc:creator>
  <cp:keywords/>
  <dc:description/>
  <cp:lastModifiedBy>Ireneusz Iwanicki</cp:lastModifiedBy>
  <cp:revision>10</cp:revision>
  <dcterms:created xsi:type="dcterms:W3CDTF">2023-08-09T11:39:00Z</dcterms:created>
  <dcterms:modified xsi:type="dcterms:W3CDTF">2023-08-09T12:29:00Z</dcterms:modified>
</cp:coreProperties>
</file>