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Arial" w:eastAsia="Arial" w:hAnsi="Arial" w:cs="Arial"/>
          <w:b/>
          <w:caps/>
          <w:sz w:val="18"/>
        </w:rPr>
      </w:pPr>
      <w:r>
        <w:rPr>
          <w:rFonts w:ascii="Arial" w:eastAsia="Arial" w:hAnsi="Arial" w:cs="Arial"/>
          <w:b/>
          <w:caps/>
          <w:sz w:val="18"/>
        </w:rPr>
        <w:t>Zarządzenie</w:t>
      </w:r>
      <w:r>
        <w:rPr>
          <w:rFonts w:ascii="Arial" w:eastAsia="Arial" w:hAnsi="Arial" w:cs="Arial"/>
          <w:b/>
          <w:caps/>
          <w:sz w:val="18"/>
        </w:rPr>
        <w:t xml:space="preserve"> Nr 0050-75/2023</w:t>
      </w:r>
      <w:r>
        <w:rPr>
          <w:rFonts w:ascii="Arial" w:eastAsia="Arial" w:hAnsi="Arial" w:cs="Arial"/>
          <w:b/>
          <w:caps/>
          <w:sz w:val="18"/>
        </w:rPr>
        <w:br/>
      </w:r>
      <w:r>
        <w:rPr>
          <w:rFonts w:ascii="Arial" w:eastAsia="Arial" w:hAnsi="Arial" w:cs="Arial"/>
          <w:b/>
          <w:caps/>
          <w:sz w:val="18"/>
        </w:rPr>
        <w:t>Burmistrza Miasta Iławy</w:t>
      </w:r>
    </w:p>
    <w:p w:rsidR="00A77B3E">
      <w:pPr>
        <w:spacing w:before="280" w:after="280" w:line="240" w:lineRule="auto"/>
        <w:ind w:left="0"/>
        <w:jc w:val="center"/>
        <w:rPr>
          <w:rFonts w:ascii="Arial" w:eastAsia="Arial" w:hAnsi="Arial" w:cs="Arial"/>
          <w:b/>
          <w:caps/>
          <w:sz w:val="18"/>
        </w:rPr>
      </w:pPr>
      <w:r>
        <w:rPr>
          <w:rFonts w:ascii="Arial" w:eastAsia="Arial" w:hAnsi="Arial" w:cs="Arial"/>
          <w:b w:val="0"/>
          <w:caps w:val="0"/>
          <w:sz w:val="18"/>
        </w:rPr>
        <w:t>z dnia 6 czerwca 2023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</w:pPr>
      <w:r>
        <w:rPr>
          <w:rFonts w:ascii="Arial" w:eastAsia="Arial" w:hAnsi="Arial" w:cs="Arial"/>
          <w:b/>
          <w:caps w:val="0"/>
          <w:sz w:val="18"/>
        </w:rPr>
        <w:t>w sprawie niewykonania prawa pierwokupu nieruchomości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</w:pP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Na podstawie art. 30 ust. 2 pkt. 3 ustawy z dnia 8 marca 1990 r. o samorządzie gminnym (t.j. Dz. U. z 2023 r., poz. 40 ze zm.)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br/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- zarządzam, co następuje:</w:t>
      </w:r>
    </w:p>
    <w:p w:rsidR="00A77B3E">
      <w:pPr>
        <w:keepNext w:val="0"/>
        <w:keepLines w:val="0"/>
        <w:spacing w:before="120" w:after="120" w:line="240" w:lineRule="auto"/>
        <w:ind w:left="0" w:right="0" w:firstLine="340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</w:pPr>
      <w:r>
        <w:rPr>
          <w:rFonts w:ascii="Arial" w:eastAsia="Arial" w:hAnsi="Arial" w:cs="Arial"/>
          <w:b/>
          <w:sz w:val="18"/>
        </w:rPr>
        <w:t>§ 1.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W związku z warunkową umową sprzedaży Rep. A Nr 2947/2023 z dnia 05.06.2023 r. nie wykonać przysługującego Gminie Miejskiej Iława prawa pierwokupu prawa użytkowania wieczystego działki niezabudowanej, oznaczonej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br/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w ewidencji gruntów i budynków miasta Iławy w obrębie nr 7 jako działka nr 216/123 o pow. 0,1202 ha oraz udziału wynoszącego 1/90 części, w prawie użytkowania wieczystego działki gruntu położonej w Iławie w obrębie nr 7, oznaczonej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br/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w ewidencji gruntów i budynków miasta Iławy numerem 216/111 o pow. 1,0349 ha.</w:t>
      </w:r>
    </w:p>
    <w:p w:rsidR="00A77B3E">
      <w:pPr>
        <w:keepNext w:val="0"/>
        <w:keepLines w:val="0"/>
        <w:spacing w:before="120" w:after="120" w:line="240" w:lineRule="auto"/>
        <w:ind w:left="0" w:right="0" w:firstLine="340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</w:pPr>
      <w:r>
        <w:rPr>
          <w:rFonts w:ascii="Arial" w:eastAsia="Arial" w:hAnsi="Arial" w:cs="Arial"/>
          <w:b/>
          <w:sz w:val="18"/>
        </w:rPr>
        <w:t>§ 2.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Zarządzenie wchodzi w życie z dniem podpisania.</w:t>
      </w:r>
    </w:p>
    <w:sectPr>
      <w:footerReference w:type="default" r:id="rId4"/>
      <w:endnotePr>
        <w:numFmt w:val="decimal"/>
      </w:endnotePr>
      <w:pgSz w:w="11906" w:h="16838"/>
      <w:pgMar w:top="850" w:right="850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993"/>
      <w:gridCol w:w="349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99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Arial" w:eastAsia="Arial" w:hAnsi="Arial" w:cs="Arial"/>
              <w:b w:val="0"/>
              <w:sz w:val="14"/>
            </w:rPr>
          </w:pPr>
          <w:r>
            <w:rPr>
              <w:rFonts w:ascii="Arial" w:eastAsia="Arial" w:hAnsi="Arial" w:cs="Arial"/>
              <w:b w:val="0"/>
              <w:sz w:val="14"/>
            </w:rPr>
            <w:t>Id: D0DCF97D-B6B5-4AA4-8F38-C3E25FD454BC. Podpisany</w:t>
          </w:r>
        </w:p>
      </w:tc>
      <w:tc>
        <w:tcPr>
          <w:tcW w:w="3496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Arial" w:eastAsia="Arial" w:hAnsi="Arial" w:cs="Arial"/>
              <w:b w:val="0"/>
              <w:sz w:val="14"/>
            </w:rPr>
          </w:pPr>
          <w:r>
            <w:rPr>
              <w:rFonts w:ascii="Arial" w:eastAsia="Arial" w:hAnsi="Arial" w:cs="Arial"/>
              <w:b w:val="0"/>
              <w:sz w:val="14"/>
            </w:rPr>
            <w:t xml:space="preserve">Strona </w:t>
          </w:r>
          <w:r>
            <w:rPr>
              <w:rFonts w:ascii="Arial" w:eastAsia="Arial" w:hAnsi="Arial" w:cs="Arial"/>
              <w:b w:val="0"/>
              <w:sz w:val="14"/>
            </w:rPr>
            <w:fldChar w:fldCharType="begin"/>
          </w:r>
          <w:r>
            <w:rPr>
              <w:rFonts w:ascii="Arial" w:eastAsia="Arial" w:hAnsi="Arial" w:cs="Arial"/>
              <w:b w:val="0"/>
              <w:sz w:val="14"/>
            </w:rPr>
            <w:instrText>PAGE</w:instrText>
          </w:r>
          <w:r>
            <w:rPr>
              <w:rFonts w:ascii="Arial" w:eastAsia="Arial" w:hAnsi="Arial" w:cs="Arial"/>
              <w:b w:val="0"/>
              <w:sz w:val="14"/>
            </w:rPr>
            <w:fldChar w:fldCharType="separate"/>
          </w:r>
          <w:r>
            <w:rPr>
              <w:rFonts w:ascii="Arial" w:eastAsia="Arial" w:hAnsi="Arial" w:cs="Arial"/>
              <w:b w:val="0"/>
              <w:sz w:val="14"/>
            </w:rPr>
            <w:fldChar w:fldCharType="end"/>
          </w:r>
          <w:r>
            <w:rPr>
              <w:rFonts w:ascii="Arial" w:eastAsia="Arial" w:hAnsi="Arial" w:cs="Arial"/>
              <w:b w:val="0"/>
              <w:sz w:val="14"/>
            </w:rPr>
            <w:t xml:space="preserve"> z </w:t>
          </w:r>
          <w:r>
            <w:rPr>
              <w:rFonts w:ascii="Arial" w:eastAsia="Arial" w:hAnsi="Arial" w:cs="Arial"/>
              <w:b w:val="0"/>
              <w:sz w:val="14"/>
            </w:rPr>
            <w:fldChar w:fldCharType="begin"/>
          </w:r>
          <w:r>
            <w:rPr>
              <w:rFonts w:ascii="Arial" w:eastAsia="Arial" w:hAnsi="Arial" w:cs="Arial"/>
              <w:b w:val="0"/>
              <w:sz w:val="14"/>
            </w:rPr>
            <w:instrText>NUMPAGES</w:instrText>
          </w:r>
          <w:r>
            <w:rPr>
              <w:rFonts w:ascii="Arial" w:eastAsia="Arial" w:hAnsi="Arial" w:cs="Arial"/>
              <w:b w:val="0"/>
              <w:sz w:val="14"/>
            </w:rPr>
            <w:fldChar w:fldCharType="separate"/>
          </w:r>
          <w:r>
            <w:rPr>
              <w:rFonts w:ascii="Arial" w:eastAsia="Arial" w:hAnsi="Arial" w:cs="Arial"/>
              <w:b w:val="0"/>
              <w:sz w:val="14"/>
            </w:rPr>
            <w:fldChar w:fldCharType="end"/>
          </w:r>
        </w:p>
      </w:tc>
    </w:tr>
  </w:tbl>
  <w:p>
    <w:pPr>
      <w:rPr>
        <w:rFonts w:ascii="Arial" w:eastAsia="Arial" w:hAnsi="Arial" w:cs="Arial"/>
        <w:b w:val="0"/>
        <w:sz w:val="1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Iławy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0050-75/2023 z dnia 6 czerwca 2023 r.</dc:title>
  <dc:subject>w sprawie niewykonania prawa pierwokupu nieruchomości</dc:subject>
  <dc:creator>iiwanicki</dc:creator>
  <cp:lastModifiedBy>iiwanicki</cp:lastModifiedBy>
  <cp:revision>1</cp:revision>
  <dcterms:created xsi:type="dcterms:W3CDTF">2023-06-06T15:07:49Z</dcterms:created>
  <dcterms:modified xsi:type="dcterms:W3CDTF">2023-06-06T15:07:49Z</dcterms:modified>
  <cp:category>Akt prawny</cp:category>
</cp:coreProperties>
</file>