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4A" w:rsidRPr="003D4F4A" w:rsidRDefault="00C10C83" w:rsidP="005C1B58">
      <w:pPr>
        <w:autoSpaceDE w:val="0"/>
        <w:spacing w:after="0" w:line="264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A579E0">
        <w:rPr>
          <w:rFonts w:ascii="Times New Roman" w:hAnsi="Times New Roman"/>
          <w:sz w:val="24"/>
          <w:szCs w:val="24"/>
        </w:rPr>
        <w:tab/>
      </w:r>
      <w:r w:rsidR="003D4F4A" w:rsidRPr="003D4F4A">
        <w:rPr>
          <w:rFonts w:ascii="Tahoma" w:eastAsia="Times New Roman" w:hAnsi="Tahoma" w:cs="Tahoma"/>
          <w:sz w:val="20"/>
          <w:szCs w:val="20"/>
          <w:lang w:eastAsia="ar-SA"/>
        </w:rPr>
        <w:t>Iława, dnia 12.04.2023 r.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BURMISTRZ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MIASTA IŁAWY</w:t>
      </w:r>
    </w:p>
    <w:p w:rsidR="003D4F4A" w:rsidRPr="003D4F4A" w:rsidRDefault="003D4F4A" w:rsidP="005C1B58">
      <w:pPr>
        <w:keepNext/>
        <w:suppressAutoHyphens/>
        <w:spacing w:after="0" w:line="264" w:lineRule="auto"/>
        <w:jc w:val="center"/>
        <w:outlineLvl w:val="1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 xml:space="preserve">ogłasza I ustny przetarg ograniczony na zbycie prawa własności nieruchomości gruntowej niezabudowanej, stanowiącej własność Gminy Miejskiej Iława, </w:t>
      </w:r>
      <w:r w:rsidRPr="003D4F4A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br/>
        <w:t xml:space="preserve">położonej w Iławie przy ul.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Piaskowej</w:t>
      </w:r>
      <w:r w:rsidRPr="003D4F4A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.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Lokalizacja: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woj. Warmińsko-Mazurskie, powiat iławski, miasto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Iława, ul. </w:t>
      </w:r>
      <w:r>
        <w:rPr>
          <w:rFonts w:ascii="Tahoma" w:eastAsia="Times New Roman" w:hAnsi="Tahoma" w:cs="Tahoma"/>
          <w:sz w:val="20"/>
          <w:szCs w:val="20"/>
          <w:lang w:eastAsia="ar-SA"/>
        </w:rPr>
        <w:t>Piaskowa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Opis nieruchomości: </w:t>
      </w:r>
    </w:p>
    <w:p w:rsidR="003D4F4A" w:rsidRPr="003D4F4A" w:rsidRDefault="003D4F4A" w:rsidP="005C1B58">
      <w:pPr>
        <w:suppressAutoHyphens/>
        <w:overflowPunct w:val="0"/>
        <w:autoSpaceDE w:val="0"/>
        <w:spacing w:after="0" w:line="264" w:lineRule="auto"/>
        <w:ind w:left="36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Przedmiotowa nieruchomość gruntowa położona jest w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>e wschodniej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części miasta Iławy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odległości około 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km od centrum miasta. Działka jest niezabudowana, posiada wydłużony 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 xml:space="preserve">prostokątny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kształt o przybliżonych wymiarach 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>69</w:t>
      </w:r>
      <w:r w:rsidR="00324C39">
        <w:rPr>
          <w:rFonts w:ascii="Tahoma" w:eastAsia="Times New Roman" w:hAnsi="Tahoma" w:cs="Tahoma"/>
          <w:sz w:val="20"/>
          <w:szCs w:val="20"/>
          <w:lang w:eastAsia="ar-SA"/>
        </w:rPr>
        <w:t>,7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m x 2</w:t>
      </w:r>
      <w:r w:rsidR="000A77BF">
        <w:rPr>
          <w:rFonts w:ascii="Tahoma" w:eastAsia="Times New Roman" w:hAnsi="Tahoma" w:cs="Tahoma"/>
          <w:sz w:val="20"/>
          <w:szCs w:val="20"/>
          <w:lang w:eastAsia="ar-SA"/>
        </w:rPr>
        <w:t>8</w:t>
      </w:r>
      <w:r w:rsidR="00324C39">
        <w:rPr>
          <w:rFonts w:ascii="Tahoma" w:eastAsia="Times New Roman" w:hAnsi="Tahoma" w:cs="Tahoma"/>
          <w:sz w:val="20"/>
          <w:szCs w:val="20"/>
          <w:lang w:eastAsia="ar-SA"/>
        </w:rPr>
        <w:t>,6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m. 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t xml:space="preserve">Działka nie posiada dostępu do drogi publicznej.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W sąsiedztwie nieruchomości znajduje się zabudowa </w:t>
      </w:r>
      <w:r w:rsidR="00324C39">
        <w:rPr>
          <w:rFonts w:ascii="Tahoma" w:eastAsia="Times New Roman" w:hAnsi="Tahoma" w:cs="Tahoma"/>
          <w:sz w:val="20"/>
          <w:szCs w:val="20"/>
          <w:lang w:eastAsia="ar-SA"/>
        </w:rPr>
        <w:t>przemysłowo-składowa oraz linia kolejowa Iława - Olsztyn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 Zbywana</w:t>
      </w:r>
      <w:r w:rsidR="00324C3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nieruchomość nie jest obciążona na rzecz osób trzecich, 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a także nie ciążą na niej żadne zobowiązania.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Oznaczenie nieruchomości wg danych z ewidencji gruntów i budynków: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obręb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br/>
        <w:t xml:space="preserve">nr </w:t>
      </w:r>
      <w:r w:rsidR="00885B22">
        <w:rPr>
          <w:rFonts w:ascii="Tahoma" w:eastAsia="Times New Roman" w:hAnsi="Tahoma" w:cs="Tahoma"/>
          <w:b/>
          <w:sz w:val="20"/>
          <w:szCs w:val="20"/>
          <w:lang w:eastAsia="ar-SA"/>
        </w:rPr>
        <w:t>6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działka nr </w:t>
      </w:r>
      <w:r w:rsidR="00885B22">
        <w:rPr>
          <w:rFonts w:ascii="Tahoma" w:eastAsia="Times New Roman" w:hAnsi="Tahoma" w:cs="Tahoma"/>
          <w:b/>
          <w:sz w:val="20"/>
          <w:szCs w:val="20"/>
          <w:lang w:eastAsia="ar-SA"/>
        </w:rPr>
        <w:t>64/1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o pow.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0,</w:t>
      </w:r>
      <w:r w:rsidR="00885B22">
        <w:rPr>
          <w:rFonts w:ascii="Tahoma" w:eastAsia="Times New Roman" w:hAnsi="Tahoma" w:cs="Tahoma"/>
          <w:b/>
          <w:sz w:val="20"/>
          <w:szCs w:val="20"/>
          <w:lang w:eastAsia="ar-SA"/>
        </w:rPr>
        <w:t>1976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ha, dla której Sąd Rejonowy w Iławie prowadzi księgę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wieczystą KW nr 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EL1I/000</w:t>
      </w:r>
      <w:r w:rsidR="00885B22">
        <w:rPr>
          <w:rFonts w:ascii="Tahoma" w:eastAsia="Times New Roman" w:hAnsi="Tahoma" w:cs="Tahoma"/>
          <w:b/>
          <w:sz w:val="20"/>
          <w:szCs w:val="20"/>
          <w:lang w:eastAsia="ar-SA"/>
        </w:rPr>
        <w:t>43842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/</w:t>
      </w:r>
      <w:r w:rsidR="00885B22">
        <w:rPr>
          <w:rFonts w:ascii="Tahoma" w:eastAsia="Times New Roman" w:hAnsi="Tahoma" w:cs="Tahoma"/>
          <w:b/>
          <w:sz w:val="20"/>
          <w:szCs w:val="20"/>
          <w:lang w:eastAsia="ar-SA"/>
        </w:rPr>
        <w:t>4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Przeznaczenie nieruchomości w miejscowym planie zagospodarowania przestrzennego: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zgodnie z </w:t>
      </w:r>
      <w:r w:rsidRPr="003D4F4A">
        <w:rPr>
          <w:rFonts w:ascii="Tahoma" w:eastAsia="Times New Roman" w:hAnsi="Tahoma" w:cs="Tahoma"/>
          <w:bCs/>
          <w:sz w:val="20"/>
          <w:szCs w:val="20"/>
          <w:lang w:eastAsia="ar-SA"/>
        </w:rPr>
        <w:t>miejscowym planem zagospodarowania przestrzennego miasta Iławy</w:t>
      </w:r>
      <w:r w:rsidRPr="003D4F4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nieruchomość położona jest na terenie zabudowy </w:t>
      </w:r>
      <w:r w:rsidR="00885B22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przemysłowo-składowej</w:t>
      </w:r>
      <w:r w:rsidRPr="003D4F4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="00885B22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F-P2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F951EE">
        <w:rPr>
          <w:rFonts w:ascii="Tahoma" w:eastAsia="Times New Roman" w:hAnsi="Tahoma" w:cs="Tahoma"/>
          <w:sz w:val="20"/>
          <w:szCs w:val="20"/>
          <w:lang w:eastAsia="ar-SA"/>
        </w:rPr>
        <w:t xml:space="preserve"> Działka nieznacznie leży w granicach strefy ochrony terenów kolejowych.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Cena wywoławcza nieruchomości: </w:t>
      </w:r>
      <w:r w:rsidR="00885B22">
        <w:rPr>
          <w:rFonts w:ascii="Tahoma" w:eastAsia="Times New Roman" w:hAnsi="Tahoma" w:cs="Tahoma"/>
          <w:b/>
          <w:sz w:val="20"/>
          <w:szCs w:val="20"/>
          <w:lang w:eastAsia="pl-PL"/>
        </w:rPr>
        <w:t>250</w:t>
      </w:r>
      <w:r w:rsidRPr="003D4F4A">
        <w:rPr>
          <w:rFonts w:ascii="Tahoma" w:eastAsia="Times New Roman" w:hAnsi="Tahoma" w:cs="Tahoma"/>
          <w:b/>
          <w:sz w:val="20"/>
          <w:szCs w:val="20"/>
          <w:lang w:eastAsia="pl-PL"/>
        </w:rPr>
        <w:t>.000,00</w:t>
      </w:r>
      <w:r w:rsidRPr="003D4F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4F4A">
        <w:rPr>
          <w:rFonts w:ascii="Tahoma" w:eastAsia="Times New Roman" w:hAnsi="Tahoma" w:cs="Tahoma"/>
          <w:b/>
          <w:sz w:val="20"/>
          <w:szCs w:val="20"/>
          <w:lang w:eastAsia="pl-PL"/>
        </w:rPr>
        <w:t>zł brutto</w:t>
      </w:r>
      <w:r w:rsidRPr="003D4F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4F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(słownie złotych: </w:t>
      </w:r>
      <w:r w:rsidR="00885B22">
        <w:rPr>
          <w:rFonts w:ascii="Tahoma" w:eastAsia="Times New Roman" w:hAnsi="Tahoma" w:cs="Tahoma"/>
          <w:b/>
          <w:sz w:val="20"/>
          <w:szCs w:val="20"/>
          <w:lang w:eastAsia="pl-PL"/>
        </w:rPr>
        <w:t>dwieście pięćdziesiąt</w:t>
      </w:r>
      <w:r w:rsidRPr="003D4F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tysięcy)</w:t>
      </w:r>
      <w:r w:rsidRPr="003D4F4A">
        <w:rPr>
          <w:rFonts w:ascii="Tahoma" w:eastAsia="Times New Roman" w:hAnsi="Tahoma" w:cs="Tahoma"/>
          <w:sz w:val="20"/>
          <w:szCs w:val="20"/>
          <w:lang w:eastAsia="pl-PL"/>
        </w:rPr>
        <w:t xml:space="preserve">. Wylicytowaną cenę sprzedaży nieruchomości należy wpłacić na konto Urzędu Miasta Iławy w Banku Millennium nr </w:t>
      </w:r>
      <w:r w:rsidRPr="003D4F4A">
        <w:rPr>
          <w:rFonts w:ascii="Tahoma" w:eastAsia="Times New Roman" w:hAnsi="Tahoma" w:cs="Tahoma"/>
          <w:b/>
          <w:sz w:val="20"/>
          <w:szCs w:val="20"/>
          <w:lang w:eastAsia="pl-PL"/>
        </w:rPr>
        <w:t>02 1160 2202 0000 0000 7045 2838</w:t>
      </w:r>
      <w:r w:rsidRPr="003D4F4A">
        <w:rPr>
          <w:rFonts w:ascii="Tahoma" w:eastAsia="Times New Roman" w:hAnsi="Tahoma" w:cs="Tahoma"/>
          <w:sz w:val="20"/>
          <w:szCs w:val="20"/>
          <w:lang w:eastAsia="pl-PL"/>
        </w:rPr>
        <w:t xml:space="preserve"> przed zawarciem umowy sprzedaży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Termin i miejsce przeprowadzenia przetargu: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przetarg odbędzie się w dniu </w:t>
      </w:r>
      <w:r w:rsidR="00885B2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24 maja</w:t>
      </w:r>
      <w:r w:rsidRPr="003D4F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2023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 r.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o godz.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12</w:t>
      </w:r>
      <w:r w:rsidRPr="003D4F4A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ar-SA"/>
        </w:rPr>
        <w:t>00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w sali nr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215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Urzędu Miasta Iławy przy ul. Niepodległości 13.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Uzasadnienie wyboru formy przetargu: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działka z uwagi na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brak dostępu do drogi publicznej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ostała przeznaczona do sprzedaży w drodze przetargu ustnego ograniczonego do właścicieli  nieruchomości przyległych.  W przetargu mogą wziąć udział właściciele nieruchomości przyległych do ww. nieruchomości. tj. działek położonych w </w:t>
      </w:r>
      <w:proofErr w:type="spellStart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obr</w:t>
      </w:r>
      <w:proofErr w:type="spellEnd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. nr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6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m. Iławy, oznaczonych w ewidencji gruntów jako: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-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działka nr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63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, położonej w Iławie przy ul.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Piaskowej 17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,</w:t>
      </w:r>
    </w:p>
    <w:p w:rsidR="003B1C48" w:rsidRDefault="003D4F4A" w:rsidP="005C1B58">
      <w:pPr>
        <w:suppressAutoHyphens/>
        <w:autoSpaceDE w:val="0"/>
        <w:spacing w:after="0" w:line="264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-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B1C48"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działka nr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53/3</w:t>
      </w:r>
      <w:r w:rsidR="003B1C48"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, położonej w Iławie przy ul. </w:t>
      </w:r>
      <w:r w:rsidR="003B1C48">
        <w:rPr>
          <w:rFonts w:ascii="Tahoma" w:eastAsia="Times New Roman" w:hAnsi="Tahoma" w:cs="Tahoma"/>
          <w:sz w:val="20"/>
          <w:szCs w:val="20"/>
          <w:lang w:eastAsia="ar-SA"/>
        </w:rPr>
        <w:t>Piaskowej 19</w:t>
      </w:r>
      <w:r w:rsidR="003B1C48" w:rsidRPr="003D4F4A">
        <w:rPr>
          <w:rFonts w:ascii="Tahoma" w:eastAsia="Times New Roman" w:hAnsi="Tahoma" w:cs="Tahoma"/>
          <w:sz w:val="20"/>
          <w:szCs w:val="20"/>
          <w:lang w:eastAsia="ar-SA"/>
        </w:rPr>
        <w:t>,</w:t>
      </w:r>
    </w:p>
    <w:p w:rsidR="003B1C48" w:rsidRDefault="003B1C48" w:rsidP="005C1B58">
      <w:pPr>
        <w:suppressAutoHyphens/>
        <w:autoSpaceDE w:val="0"/>
        <w:spacing w:after="0" w:line="264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-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działk</w:t>
      </w:r>
      <w:r w:rsidR="002979F0">
        <w:rPr>
          <w:rFonts w:ascii="Tahoma" w:eastAsia="Times New Roman" w:hAnsi="Tahoma" w:cs="Tahoma"/>
          <w:sz w:val="20"/>
          <w:szCs w:val="20"/>
          <w:lang w:eastAsia="ar-SA"/>
        </w:rPr>
        <w:t>i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53/</w:t>
      </w:r>
      <w:r w:rsidR="002979F0">
        <w:rPr>
          <w:rFonts w:ascii="Tahoma" w:eastAsia="Times New Roman" w:hAnsi="Tahoma" w:cs="Tahoma"/>
          <w:sz w:val="20"/>
          <w:szCs w:val="20"/>
          <w:lang w:eastAsia="ar-SA"/>
        </w:rPr>
        <w:t>4 i 64/2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, położonej w Iławie przy ul. </w:t>
      </w:r>
      <w:r w:rsidR="002979F0">
        <w:rPr>
          <w:rFonts w:ascii="Tahoma" w:eastAsia="Times New Roman" w:hAnsi="Tahoma" w:cs="Tahoma"/>
          <w:sz w:val="20"/>
          <w:szCs w:val="20"/>
          <w:lang w:eastAsia="ar-SA"/>
        </w:rPr>
        <w:t>Przemysłowej.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Warunki udziału w przetargu: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w przetargu mogą uczestniczyć osoby, które wpłacą wadium przetargowe i złożą zgłoszenie 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t xml:space="preserve">uczestnictwa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w przetargu. Termin zgłoszenia uczestnictwa </w:t>
      </w:r>
      <w:r w:rsidR="005C1B58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w przetargu upływa w dniu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1</w:t>
      </w:r>
      <w:r w:rsidR="003A5297">
        <w:rPr>
          <w:rFonts w:ascii="Tahoma" w:eastAsia="Times New Roman" w:hAnsi="Tahoma" w:cs="Tahoma"/>
          <w:b/>
          <w:sz w:val="20"/>
          <w:szCs w:val="20"/>
          <w:lang w:eastAsia="ar-SA"/>
        </w:rPr>
        <w:t>9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3A5297">
        <w:rPr>
          <w:rFonts w:ascii="Tahoma" w:eastAsia="Times New Roman" w:hAnsi="Tahoma" w:cs="Tahoma"/>
          <w:b/>
          <w:sz w:val="20"/>
          <w:szCs w:val="20"/>
          <w:lang w:eastAsia="ar-SA"/>
        </w:rPr>
        <w:t>maja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2023 r.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O fakcie złożenia zgłoszenia należy powiadomić Wydział Utrzymania Mienia Komunalnego Urzędu Miasta Iławy – tel. 89-6490163. Lista osób zakwalifikowanych do udziału w przetargu zostanie umieszczona w Biuletynie Informacji Publicznej pod adresem </w:t>
      </w:r>
      <w:hyperlink r:id="rId8" w:history="1">
        <w:r w:rsidRPr="003D4F4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https://bip.umilawa.pl</w:t>
        </w:r>
      </w:hyperlink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, na stronie internetowej urzędu pod adresem </w:t>
      </w:r>
      <w:hyperlink r:id="rId9" w:history="1">
        <w:r w:rsidRPr="003D4F4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www.miastoilawa.pl</w:t>
        </w:r>
      </w:hyperlink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oraz wywieszona na tablicy ogłoszeń w siedzibie Urzędu Miasta Iławy w dniu </w:t>
      </w:r>
      <w:r w:rsidR="003A5297">
        <w:rPr>
          <w:rFonts w:ascii="Tahoma" w:eastAsia="Times New Roman" w:hAnsi="Tahoma" w:cs="Tahoma"/>
          <w:b/>
          <w:sz w:val="20"/>
          <w:szCs w:val="20"/>
          <w:lang w:eastAsia="ar-SA"/>
        </w:rPr>
        <w:t>22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3A5297">
        <w:rPr>
          <w:rFonts w:ascii="Tahoma" w:eastAsia="Times New Roman" w:hAnsi="Tahoma" w:cs="Tahoma"/>
          <w:b/>
          <w:sz w:val="20"/>
          <w:szCs w:val="20"/>
          <w:lang w:eastAsia="ar-SA"/>
        </w:rPr>
        <w:t>maja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2023 r.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Termin, miejsce wpłaty oraz wysokość wadium: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wadium w wysokości </w:t>
      </w:r>
      <w:r w:rsidR="00F86E3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25</w:t>
      </w:r>
      <w:r w:rsidRPr="003D4F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</w:t>
      </w:r>
      <w:r w:rsidR="00F86E3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0</w:t>
      </w:r>
      <w:r w:rsidRPr="003D4F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00,00 zł (słownie złotych: </w:t>
      </w:r>
      <w:r w:rsidR="00F86E3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dwadzieścia pięć</w:t>
      </w:r>
      <w:r w:rsidRPr="003D4F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tysi</w:t>
      </w:r>
      <w:r w:rsidR="00F86E3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ęcy</w:t>
      </w:r>
      <w:r w:rsidRPr="003D4F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)</w:t>
      </w:r>
      <w:r w:rsidRPr="003D4F4A">
        <w:rPr>
          <w:rFonts w:ascii="Tahoma" w:eastAsia="Times New Roman" w:hAnsi="Tahoma" w:cs="Tahoma"/>
          <w:bCs/>
          <w:sz w:val="20"/>
          <w:szCs w:val="20"/>
          <w:lang w:eastAsia="ar-SA"/>
        </w:rPr>
        <w:t>,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należy wpłacić na rachunek bankowy Urzędu Miasta Iławy w Banku Millennium 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Nr 96 1160 2202 0000 0000 6192 1354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w terminie do dnia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1</w:t>
      </w:r>
      <w:r w:rsidR="006222E2">
        <w:rPr>
          <w:rFonts w:ascii="Tahoma" w:eastAsia="Times New Roman" w:hAnsi="Tahoma" w:cs="Tahoma"/>
          <w:b/>
          <w:sz w:val="20"/>
          <w:szCs w:val="20"/>
          <w:lang w:eastAsia="ar-SA"/>
        </w:rPr>
        <w:t>9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6222E2">
        <w:rPr>
          <w:rFonts w:ascii="Tahoma" w:eastAsia="Times New Roman" w:hAnsi="Tahoma" w:cs="Tahoma"/>
          <w:b/>
          <w:sz w:val="20"/>
          <w:szCs w:val="20"/>
          <w:lang w:eastAsia="ar-SA"/>
        </w:rPr>
        <w:t>maja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2023 r.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Za datę wpłacenia wadium uważa się wpływ wymaganej kwoty na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br/>
        <w:t xml:space="preserve">ww. rachunek. Wadium wpłacone przez uczestnika przetargu, który ustalony zostanie jako Nabywca, zaliczone zostanie na poczet ceny nabycia nieruchomości. Pozostałym uczestnikom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przetargu wadium zostanie zwrócone niezwłocznie po zamknięciu przetargu, jednak nie później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br/>
        <w:t>niż przed upływem 3 dni.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Wysokość postąpienia: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o wysokości postąpienia decydują uczestnicy przetargu, z tym</w:t>
      </w:r>
      <w:r w:rsidR="0081445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że postąpienie nie może wynosić mniej niż 1% ceny wywoławczej, z zaokrągleniem do pełnych dziesiątek złotych i wynosi minimum </w:t>
      </w:r>
      <w:r w:rsidR="00F86E3B">
        <w:rPr>
          <w:rFonts w:ascii="Tahoma" w:eastAsia="Times New Roman" w:hAnsi="Tahoma" w:cs="Tahoma"/>
          <w:b/>
          <w:sz w:val="20"/>
          <w:szCs w:val="20"/>
          <w:lang w:eastAsia="ar-SA"/>
        </w:rPr>
        <w:t>2.500</w:t>
      </w: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,00 zł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Skutki uchylenia się od zawarcia umowy sprzedaży: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jeżeli uczestnik przetargu ustalony jako Nabywca uchyli się od podpisania umowy sprzedaży w formie aktu notarialnego, wpłacone wadium ulegnie przepadkowi na rzecz Gminy Miejskiej Iława.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Warunki nabycia nieruchomości: 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Nieruchomość objęta przetargiem stanowi własność Gminy Miejskiej Iława i nie jest obciążona żadnymi prawami i długami wobec osób trzecich, za wyjątkiem ewentualnych praw wynikających z przebiegu przez nieruchomości sieci infrastruktury technicznej uzbrojenia terenu i przyłączy do tych sieci.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Gmina Miejska Iława nie ponosi odpowiedzialności za wady ukryte nieruchomości oraz za  warunki geotechniczne gruntu.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Nieruchomość zbywana jest na cele zgodne z planem zagospodarowania przestrzennego. 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Sprzedaż i wydanie nieruchomości w posiadanie Nabywcy następuje według danych zawartych w ewidencji gruntów i budynków, w aktualnym stanie zagospodarowania.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Informacje dodatkowe: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Przetarg przeprowadzony zostanie w trybie przewidzianym przepisami ustawy z dnia 21 sierpnia 1997 r. o gospodarce nieruchomościami (</w:t>
      </w:r>
      <w:proofErr w:type="spellStart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t.j</w:t>
      </w:r>
      <w:proofErr w:type="spellEnd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 Dz. U. z 202</w:t>
      </w:r>
      <w:r w:rsidR="00F86E3B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r., poz. </w:t>
      </w:r>
      <w:r w:rsidR="00F86E3B">
        <w:rPr>
          <w:rFonts w:ascii="Tahoma" w:eastAsia="Times New Roman" w:hAnsi="Tahoma" w:cs="Tahoma"/>
          <w:sz w:val="20"/>
          <w:szCs w:val="20"/>
          <w:lang w:eastAsia="ar-SA"/>
        </w:rPr>
        <w:t>344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) oraz rozporządzenia Rady Ministrów z dnia 14 września 2004 r. w sprawie sposobu i trybu przeprowadzania przetargów oraz rokowań na zbycie nieruchomości (</w:t>
      </w:r>
      <w:proofErr w:type="spellStart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t.j</w:t>
      </w:r>
      <w:proofErr w:type="spellEnd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. Dz. U. z 2021 r., poz. 2213).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Przetarg będzie ważny bez względu na liczbę uczestników, jeżeli chociaż jeden uczestnik zaoferuje cenę wyższą od ceny wywoławczej o co najmniej jedno postąpienie.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Organizator przetargu zawiadomi osobę ustaloną jako Nabywca nieruchomości o terminie i miejscu zawarcia umowy sprzedaży, najpóźniej w terminie 21 dni od dnia rozstrzygnięcia przetargu. 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Z dniem podpisania umowy sprzedaży w formie aktu notarialnego na Nabywcę przechodzą wszelkie ciężary i korzyści związane z nieruchomością.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70"/>
        </w:tabs>
        <w:suppressAutoHyphens/>
        <w:autoSpaceDE w:val="0"/>
        <w:spacing w:after="0" w:line="264" w:lineRule="auto"/>
        <w:ind w:left="770" w:hanging="410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Uczestnicy przetargu winni legitymować się dowodem osobistym.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84"/>
        </w:tabs>
        <w:suppressAutoHyphens/>
        <w:autoSpaceDE w:val="0"/>
        <w:spacing w:after="0" w:line="264" w:lineRule="auto"/>
        <w:ind w:left="784" w:hanging="42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 przypadku działania poprzez pełnomocnika, pełnomocnik winien przedłożyć komisji przetargowej oryginał pełnomocnictwa sporządzonego w formie aktu notarialnego lub pełnomocnictwa z notarialnie poświadczonym podpisem.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84"/>
        </w:tabs>
        <w:suppressAutoHyphens/>
        <w:autoSpaceDE w:val="0"/>
        <w:spacing w:after="0" w:line="264" w:lineRule="auto"/>
        <w:ind w:left="784" w:hanging="42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 przypadku nabywania nieruchomości przez małżonków do wspólności ustawowej, na przetargu winni stawić się oboje małżonkowie lub jeden z małżonków, wraz z oryginałem szczegółowego pełnomocnictwa.</w:t>
      </w:r>
    </w:p>
    <w:p w:rsidR="003D4F4A" w:rsidRPr="003D4F4A" w:rsidRDefault="003D4F4A" w:rsidP="005C1B58">
      <w:pPr>
        <w:numPr>
          <w:ilvl w:val="1"/>
          <w:numId w:val="2"/>
        </w:numPr>
        <w:tabs>
          <w:tab w:val="clear" w:pos="786"/>
          <w:tab w:val="left" w:pos="784"/>
        </w:tabs>
        <w:suppressAutoHyphens/>
        <w:autoSpaceDE w:val="0"/>
        <w:spacing w:after="0" w:line="264" w:lineRule="auto"/>
        <w:ind w:left="784" w:hanging="42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Wszelkie koszty, w tym w szczególności opłaty notarialne i sądowe, związane z zawarciem umowy sprzedaży ponosi Nabywca.</w:t>
      </w:r>
    </w:p>
    <w:p w:rsidR="003D4F4A" w:rsidRPr="003D4F4A" w:rsidRDefault="003D4F4A" w:rsidP="005C1B58">
      <w:pPr>
        <w:numPr>
          <w:ilvl w:val="0"/>
          <w:numId w:val="2"/>
        </w:num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Zastrzeżenia: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Burmistrz Miasta Iławy może odwołać ogłoszony przetarg jedynie z ważnych powodów, niezwłocznie podając informację o odwołaniu przetargu do publicznej wiadomości z podaniem przyczyny odwołania przetargu.</w:t>
      </w:r>
    </w:p>
    <w:p w:rsidR="003D4F4A" w:rsidRPr="003D4F4A" w:rsidRDefault="003D4F4A" w:rsidP="005C1B58">
      <w:pPr>
        <w:suppressAutoHyphens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>Szczegółowych informacji udziela Wydział Utrzymania Mienia Komunalnego Urzędu Miasta Iławy, ul. Niepodległości 13, pokój nr 205, tel.  89-6490163.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:rsidR="003D4F4A" w:rsidRPr="003D4F4A" w:rsidRDefault="003D4F4A" w:rsidP="005C1B58">
      <w:p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:rsidR="003D4F4A" w:rsidRDefault="003D4F4A" w:rsidP="005C1B58">
      <w:p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221F6" w:rsidRPr="003D4F4A" w:rsidRDefault="001221F6" w:rsidP="005C1B58">
      <w:pPr>
        <w:suppressAutoHyphens/>
        <w:autoSpaceDE w:val="0"/>
        <w:spacing w:after="0" w:line="264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D4F4A" w:rsidRPr="003D4F4A" w:rsidRDefault="003D4F4A" w:rsidP="005C1B58">
      <w:pPr>
        <w:suppressAutoHyphens/>
        <w:spacing w:after="0" w:line="264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Wywieszono dnia – _____</w:t>
      </w:r>
      <w:r w:rsidR="00F86E3B">
        <w:rPr>
          <w:rFonts w:ascii="Tahoma" w:eastAsia="Times New Roman" w:hAnsi="Tahoma" w:cs="Tahoma"/>
          <w:sz w:val="20"/>
          <w:szCs w:val="20"/>
          <w:lang w:eastAsia="ar-SA"/>
        </w:rPr>
        <w:t>.04.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>202</w:t>
      </w:r>
      <w:r w:rsidR="00F86E3B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 r.  </w:t>
      </w:r>
    </w:p>
    <w:p w:rsidR="003D4F4A" w:rsidRPr="003D4F4A" w:rsidRDefault="003D4F4A" w:rsidP="005C1B58">
      <w:pPr>
        <w:suppressAutoHyphens/>
        <w:spacing w:after="0" w:line="264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579E0" w:rsidRPr="005C1B58" w:rsidRDefault="003D4F4A" w:rsidP="005C1B58">
      <w:pPr>
        <w:suppressAutoHyphens/>
        <w:spacing w:after="0" w:line="264" w:lineRule="auto"/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  <w:r w:rsidRPr="003D4F4A">
        <w:rPr>
          <w:rFonts w:ascii="Tahoma" w:eastAsia="Times New Roman" w:hAnsi="Tahoma" w:cs="Tahoma"/>
          <w:sz w:val="20"/>
          <w:szCs w:val="20"/>
          <w:lang w:eastAsia="ar-SA"/>
        </w:rPr>
        <w:t>Zdjęto dnia - _________</w:t>
      </w:r>
      <w:r w:rsidR="00F86E3B">
        <w:rPr>
          <w:rFonts w:ascii="Tahoma" w:eastAsia="Times New Roman" w:hAnsi="Tahoma" w:cs="Tahoma"/>
          <w:sz w:val="20"/>
          <w:szCs w:val="20"/>
          <w:lang w:eastAsia="ar-SA"/>
        </w:rPr>
        <w:t>.05.</w:t>
      </w:r>
      <w:r w:rsidRPr="003D4F4A">
        <w:rPr>
          <w:rFonts w:ascii="Tahoma" w:eastAsia="Times New Roman" w:hAnsi="Tahoma" w:cs="Tahoma"/>
          <w:sz w:val="20"/>
          <w:szCs w:val="20"/>
          <w:lang w:eastAsia="ar-SA"/>
        </w:rPr>
        <w:t xml:space="preserve">2023 r. </w:t>
      </w:r>
      <w:r w:rsidR="00C10C83" w:rsidRPr="00A579E0">
        <w:rPr>
          <w:rFonts w:ascii="Times New Roman" w:hAnsi="Times New Roman"/>
          <w:sz w:val="24"/>
          <w:szCs w:val="24"/>
        </w:rPr>
        <w:tab/>
      </w:r>
      <w:r w:rsidR="00C10C83" w:rsidRPr="00A579E0">
        <w:rPr>
          <w:rFonts w:ascii="Times New Roman" w:hAnsi="Times New Roman"/>
          <w:sz w:val="24"/>
          <w:szCs w:val="24"/>
        </w:rPr>
        <w:tab/>
      </w:r>
      <w:r w:rsidR="00C10C83" w:rsidRPr="00A579E0">
        <w:rPr>
          <w:rFonts w:ascii="Times New Roman" w:hAnsi="Times New Roman"/>
          <w:sz w:val="24"/>
          <w:szCs w:val="24"/>
        </w:rPr>
        <w:tab/>
      </w:r>
      <w:r w:rsidR="00A579E0">
        <w:rPr>
          <w:rFonts w:ascii="Times New Roman" w:hAnsi="Times New Roman"/>
          <w:sz w:val="24"/>
          <w:szCs w:val="24"/>
        </w:rPr>
        <w:tab/>
      </w:r>
    </w:p>
    <w:sectPr w:rsidR="00A579E0" w:rsidRPr="005C1B58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38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/>
        <w:b w:val="0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A77BF"/>
    <w:rsid w:val="000B7705"/>
    <w:rsid w:val="000E68BB"/>
    <w:rsid w:val="0010611D"/>
    <w:rsid w:val="00112996"/>
    <w:rsid w:val="001221F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754B"/>
    <w:rsid w:val="00280804"/>
    <w:rsid w:val="00293B4E"/>
    <w:rsid w:val="002979F0"/>
    <w:rsid w:val="002D6BC1"/>
    <w:rsid w:val="00307023"/>
    <w:rsid w:val="00324C39"/>
    <w:rsid w:val="003548CD"/>
    <w:rsid w:val="003A5297"/>
    <w:rsid w:val="003B1C48"/>
    <w:rsid w:val="003D4F4A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5C1B58"/>
    <w:rsid w:val="00617732"/>
    <w:rsid w:val="006222E2"/>
    <w:rsid w:val="00624C0C"/>
    <w:rsid w:val="00627A6D"/>
    <w:rsid w:val="00686964"/>
    <w:rsid w:val="006D0E84"/>
    <w:rsid w:val="00724EFB"/>
    <w:rsid w:val="00743F45"/>
    <w:rsid w:val="00772B22"/>
    <w:rsid w:val="007A0E8E"/>
    <w:rsid w:val="007A4655"/>
    <w:rsid w:val="007C29BC"/>
    <w:rsid w:val="007E3E3A"/>
    <w:rsid w:val="007E5393"/>
    <w:rsid w:val="00814457"/>
    <w:rsid w:val="00817FAF"/>
    <w:rsid w:val="00830A01"/>
    <w:rsid w:val="0083788E"/>
    <w:rsid w:val="00885B22"/>
    <w:rsid w:val="008A653B"/>
    <w:rsid w:val="008B3D16"/>
    <w:rsid w:val="008D0BDD"/>
    <w:rsid w:val="009101B6"/>
    <w:rsid w:val="00966961"/>
    <w:rsid w:val="009723BF"/>
    <w:rsid w:val="009744DC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45F8E"/>
    <w:rsid w:val="00F56882"/>
    <w:rsid w:val="00F86E3B"/>
    <w:rsid w:val="00F951EE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2A80A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il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D42C-A788-4271-97E0-6284BEBB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12</cp:revision>
  <cp:lastPrinted>2020-10-02T13:15:00Z</cp:lastPrinted>
  <dcterms:created xsi:type="dcterms:W3CDTF">2022-02-18T12:22:00Z</dcterms:created>
  <dcterms:modified xsi:type="dcterms:W3CDTF">2023-04-12T07:44:00Z</dcterms:modified>
</cp:coreProperties>
</file>